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7F1" w:rsidRDefault="001907F1" w:rsidP="001907F1">
      <w:pPr>
        <w:jc w:val="both"/>
        <w:rPr>
          <w:rFonts w:ascii="Garamond" w:hAnsi="Garamond"/>
          <w:b/>
        </w:rPr>
      </w:pPr>
      <w:r>
        <w:rPr>
          <w:rFonts w:ascii="Garamond" w:hAnsi="Garamond"/>
          <w:b/>
        </w:rPr>
        <w:t>Submission: Formatting Non-R</w:t>
      </w:r>
      <w:r w:rsidR="00186449">
        <w:rPr>
          <w:rFonts w:ascii="Garamond" w:hAnsi="Garamond"/>
          <w:b/>
        </w:rPr>
        <w:t>eligion in Late Modern Society</w:t>
      </w:r>
      <w:r w:rsidR="002648EC">
        <w:rPr>
          <w:rFonts w:ascii="Garamond" w:hAnsi="Garamond"/>
          <w:b/>
        </w:rPr>
        <w:t>: Institutional and Legal Perspectives</w:t>
      </w:r>
    </w:p>
    <w:p w:rsidR="00186449" w:rsidRDefault="00186449" w:rsidP="001907F1">
      <w:pPr>
        <w:jc w:val="both"/>
        <w:rPr>
          <w:rFonts w:ascii="Garamond" w:hAnsi="Garamond"/>
          <w:b/>
        </w:rPr>
      </w:pPr>
    </w:p>
    <w:p w:rsidR="00186449" w:rsidRDefault="00186449" w:rsidP="001907F1">
      <w:pPr>
        <w:jc w:val="both"/>
        <w:rPr>
          <w:rFonts w:ascii="Garamond" w:hAnsi="Garamond"/>
          <w:b/>
        </w:rPr>
      </w:pPr>
      <w:r>
        <w:rPr>
          <w:rFonts w:ascii="Garamond" w:hAnsi="Garamond"/>
          <w:b/>
        </w:rPr>
        <w:t>Author</w:t>
      </w:r>
    </w:p>
    <w:p w:rsidR="00186449" w:rsidRDefault="00186449" w:rsidP="001907F1">
      <w:pPr>
        <w:jc w:val="both"/>
        <w:rPr>
          <w:rFonts w:ascii="Garamond" w:hAnsi="Garamond"/>
          <w:b/>
        </w:rPr>
      </w:pPr>
    </w:p>
    <w:p w:rsidR="00186449" w:rsidRDefault="00186449" w:rsidP="001907F1">
      <w:pPr>
        <w:jc w:val="both"/>
        <w:rPr>
          <w:rFonts w:ascii="Garamond" w:hAnsi="Garamond"/>
        </w:rPr>
      </w:pPr>
      <w:r w:rsidRPr="00186449">
        <w:rPr>
          <w:rFonts w:ascii="Garamond" w:hAnsi="Garamond"/>
        </w:rPr>
        <w:t>Timothy Stacey</w:t>
      </w:r>
    </w:p>
    <w:p w:rsidR="00186449" w:rsidRDefault="00186449" w:rsidP="001907F1">
      <w:pPr>
        <w:jc w:val="both"/>
        <w:rPr>
          <w:rFonts w:ascii="Garamond" w:hAnsi="Garamond"/>
        </w:rPr>
      </w:pPr>
      <w:r>
        <w:rPr>
          <w:rFonts w:ascii="Garamond" w:hAnsi="Garamond"/>
        </w:rPr>
        <w:t>Postdoctoral Fellow</w:t>
      </w:r>
    </w:p>
    <w:p w:rsidR="00186449" w:rsidRDefault="00186449" w:rsidP="001907F1">
      <w:pPr>
        <w:jc w:val="both"/>
        <w:rPr>
          <w:rFonts w:ascii="Garamond" w:hAnsi="Garamond"/>
        </w:rPr>
      </w:pPr>
      <w:r>
        <w:rPr>
          <w:rFonts w:ascii="Garamond" w:hAnsi="Garamond"/>
        </w:rPr>
        <w:t>Religion and Diversity Project</w:t>
      </w:r>
    </w:p>
    <w:p w:rsidR="00186449" w:rsidRDefault="00186449" w:rsidP="001907F1">
      <w:pPr>
        <w:jc w:val="both"/>
        <w:rPr>
          <w:rFonts w:ascii="Garamond" w:hAnsi="Garamond"/>
        </w:rPr>
      </w:pPr>
      <w:r>
        <w:rPr>
          <w:rFonts w:ascii="Garamond" w:hAnsi="Garamond"/>
        </w:rPr>
        <w:t>University of Ottawa</w:t>
      </w:r>
    </w:p>
    <w:p w:rsidR="00186449" w:rsidRDefault="00186449" w:rsidP="001907F1">
      <w:pPr>
        <w:jc w:val="both"/>
        <w:rPr>
          <w:rFonts w:ascii="Garamond" w:hAnsi="Garamond"/>
        </w:rPr>
      </w:pPr>
    </w:p>
    <w:p w:rsidR="00186449" w:rsidRDefault="00186449" w:rsidP="001907F1">
      <w:pPr>
        <w:jc w:val="both"/>
        <w:rPr>
          <w:rFonts w:ascii="Garamond" w:hAnsi="Garamond"/>
        </w:rPr>
      </w:pPr>
      <w:r>
        <w:rPr>
          <w:rFonts w:ascii="Garamond" w:hAnsi="Garamond"/>
        </w:rPr>
        <w:t xml:space="preserve">Institutional email: </w:t>
      </w:r>
      <w:hyperlink r:id="rId5" w:history="1">
        <w:r w:rsidRPr="00E4025B">
          <w:rPr>
            <w:rStyle w:val="Hyperlink"/>
            <w:rFonts w:ascii="Garamond" w:hAnsi="Garamond"/>
          </w:rPr>
          <w:t>tstacey@uottawa.ca</w:t>
        </w:r>
      </w:hyperlink>
      <w:r>
        <w:rPr>
          <w:rFonts w:ascii="Garamond" w:hAnsi="Garamond"/>
        </w:rPr>
        <w:t xml:space="preserve"> </w:t>
      </w:r>
    </w:p>
    <w:p w:rsidR="00186449" w:rsidRPr="00186449" w:rsidRDefault="00186449" w:rsidP="001907F1">
      <w:pPr>
        <w:jc w:val="both"/>
        <w:rPr>
          <w:rFonts w:ascii="Garamond" w:hAnsi="Garamond"/>
        </w:rPr>
      </w:pPr>
      <w:r>
        <w:rPr>
          <w:rFonts w:ascii="Garamond" w:hAnsi="Garamond"/>
        </w:rPr>
        <w:t xml:space="preserve">Preferred email: </w:t>
      </w:r>
      <w:hyperlink r:id="rId6" w:history="1">
        <w:r w:rsidRPr="00E4025B">
          <w:rPr>
            <w:rStyle w:val="Hyperlink"/>
            <w:rFonts w:ascii="Garamond" w:hAnsi="Garamond"/>
          </w:rPr>
          <w:t>timothyjstacey@gmail.com</w:t>
        </w:r>
      </w:hyperlink>
      <w:r>
        <w:rPr>
          <w:rFonts w:ascii="Garamond" w:hAnsi="Garamond"/>
        </w:rPr>
        <w:t xml:space="preserve"> </w:t>
      </w:r>
    </w:p>
    <w:p w:rsidR="001907F1" w:rsidRDefault="001907F1" w:rsidP="001907F1">
      <w:pPr>
        <w:jc w:val="both"/>
        <w:rPr>
          <w:rFonts w:ascii="Garamond" w:hAnsi="Garamond"/>
          <w:b/>
        </w:rPr>
      </w:pPr>
    </w:p>
    <w:p w:rsidR="001907F1" w:rsidRPr="007B15DC" w:rsidRDefault="001907F1" w:rsidP="001907F1">
      <w:pPr>
        <w:jc w:val="both"/>
        <w:rPr>
          <w:rFonts w:ascii="Garamond" w:hAnsi="Garamond"/>
          <w:b/>
        </w:rPr>
      </w:pPr>
      <w:r w:rsidRPr="007B15DC">
        <w:rPr>
          <w:rFonts w:ascii="Garamond" w:hAnsi="Garamond"/>
          <w:b/>
        </w:rPr>
        <w:t>Conference themes addressed</w:t>
      </w:r>
    </w:p>
    <w:p w:rsidR="001907F1" w:rsidRPr="009F0004" w:rsidRDefault="001907F1" w:rsidP="001907F1">
      <w:pPr>
        <w:pStyle w:val="NormalWeb"/>
        <w:numPr>
          <w:ilvl w:val="0"/>
          <w:numId w:val="1"/>
        </w:numPr>
        <w:jc w:val="both"/>
        <w:rPr>
          <w:rFonts w:ascii="Garamond" w:hAnsi="Garamond"/>
        </w:rPr>
      </w:pPr>
      <w:r>
        <w:rPr>
          <w:rFonts w:ascii="Garamond" w:hAnsi="Garamond"/>
        </w:rPr>
        <w:t>Where and how do non-</w:t>
      </w:r>
      <w:r w:rsidRPr="009F0004">
        <w:rPr>
          <w:rFonts w:ascii="Garamond" w:hAnsi="Garamond"/>
        </w:rPr>
        <w:t xml:space="preserve">religious individuals and collectives fit into institutions in contemporary societies? </w:t>
      </w:r>
    </w:p>
    <w:p w:rsidR="001907F1" w:rsidRPr="001907F1" w:rsidRDefault="001907F1" w:rsidP="009F0004">
      <w:pPr>
        <w:pStyle w:val="ListParagraph"/>
        <w:numPr>
          <w:ilvl w:val="0"/>
          <w:numId w:val="1"/>
        </w:numPr>
        <w:spacing w:before="100" w:beforeAutospacing="1" w:after="100" w:afterAutospacing="1"/>
        <w:jc w:val="both"/>
        <w:rPr>
          <w:rFonts w:ascii="Garamond" w:eastAsia="Times New Roman" w:hAnsi="Garamond" w:cs="Times New Roman"/>
          <w:lang w:val="en-CA" w:eastAsia="en-CA"/>
        </w:rPr>
      </w:pPr>
      <w:r w:rsidRPr="009F0004">
        <w:rPr>
          <w:rFonts w:ascii="Garamond" w:eastAsia="Times New Roman" w:hAnsi="Garamond" w:cs="Calibri"/>
          <w:lang w:val="en-CA" w:eastAsia="en-CA"/>
        </w:rPr>
        <w:t xml:space="preserve">How does </w:t>
      </w:r>
      <w:proofErr w:type="spellStart"/>
      <w:r w:rsidRPr="009F0004">
        <w:rPr>
          <w:rFonts w:ascii="Garamond" w:eastAsia="Times New Roman" w:hAnsi="Garamond" w:cs="Calibri"/>
          <w:lang w:val="en-CA" w:eastAsia="en-CA"/>
        </w:rPr>
        <w:t>nonreligion</w:t>
      </w:r>
      <w:proofErr w:type="spellEnd"/>
      <w:r w:rsidRPr="009F0004">
        <w:rPr>
          <w:rFonts w:ascii="Garamond" w:eastAsia="Times New Roman" w:hAnsi="Garamond" w:cs="Calibri"/>
          <w:lang w:val="en-CA" w:eastAsia="en-CA"/>
        </w:rPr>
        <w:t xml:space="preserve"> from above affect notions of citizenship and national belonging? </w:t>
      </w:r>
    </w:p>
    <w:p w:rsidR="000B0A45" w:rsidRDefault="000B0A45" w:rsidP="009F0004">
      <w:pPr>
        <w:jc w:val="both"/>
        <w:rPr>
          <w:rFonts w:ascii="Garamond" w:hAnsi="Garamond"/>
          <w:b/>
        </w:rPr>
      </w:pPr>
      <w:r>
        <w:rPr>
          <w:rFonts w:ascii="Garamond" w:hAnsi="Garamond"/>
          <w:b/>
        </w:rPr>
        <w:t>Abstract</w:t>
      </w:r>
      <w:r w:rsidR="007B15DC">
        <w:rPr>
          <w:rFonts w:ascii="Garamond" w:hAnsi="Garamond"/>
          <w:b/>
        </w:rPr>
        <w:t xml:space="preserve"> (300 words)</w:t>
      </w:r>
    </w:p>
    <w:p w:rsidR="000B0A45" w:rsidRDefault="000B0A45" w:rsidP="009F0004">
      <w:pPr>
        <w:jc w:val="both"/>
        <w:rPr>
          <w:rFonts w:ascii="Garamond" w:hAnsi="Garamond"/>
          <w:b/>
        </w:rPr>
      </w:pPr>
    </w:p>
    <w:p w:rsidR="009F0004" w:rsidRPr="00646662" w:rsidRDefault="009F0004" w:rsidP="009F0004">
      <w:pPr>
        <w:jc w:val="both"/>
        <w:rPr>
          <w:rFonts w:ascii="Garamond" w:hAnsi="Garamond"/>
          <w:i/>
        </w:rPr>
      </w:pPr>
      <w:r w:rsidRPr="000B0A45">
        <w:rPr>
          <w:rFonts w:ascii="Garamond" w:hAnsi="Garamond"/>
          <w:i/>
        </w:rPr>
        <w:t>Formatting Non-Religion and “</w:t>
      </w:r>
      <w:proofErr w:type="spellStart"/>
      <w:r w:rsidRPr="000B0A45">
        <w:rPr>
          <w:rFonts w:ascii="Garamond" w:hAnsi="Garamond"/>
          <w:i/>
        </w:rPr>
        <w:t>Unformatting</w:t>
      </w:r>
      <w:proofErr w:type="spellEnd"/>
      <w:r w:rsidRPr="000B0A45">
        <w:rPr>
          <w:rFonts w:ascii="Garamond" w:hAnsi="Garamond"/>
          <w:i/>
        </w:rPr>
        <w:t>” Late M</w:t>
      </w:r>
      <w:r w:rsidRPr="000B0A45">
        <w:rPr>
          <w:rFonts w:ascii="Garamond" w:hAnsi="Garamond"/>
          <w:i/>
        </w:rPr>
        <w:t>odern Society</w:t>
      </w:r>
      <w:r w:rsidR="00646662">
        <w:rPr>
          <w:rFonts w:ascii="Garamond" w:hAnsi="Garamond"/>
          <w:i/>
        </w:rPr>
        <w:t>: Reinvigorating Democratic Politics</w:t>
      </w:r>
    </w:p>
    <w:p w:rsidR="009F0004" w:rsidRDefault="009F0004" w:rsidP="009F0004">
      <w:pPr>
        <w:jc w:val="both"/>
        <w:rPr>
          <w:rFonts w:ascii="Garamond" w:hAnsi="Garamond"/>
        </w:rPr>
      </w:pPr>
    </w:p>
    <w:p w:rsidR="0095398C" w:rsidRDefault="00101CE1" w:rsidP="0095398C">
      <w:pPr>
        <w:jc w:val="both"/>
        <w:rPr>
          <w:rFonts w:ascii="Garamond" w:hAnsi="Garamond"/>
        </w:rPr>
      </w:pPr>
      <w:r>
        <w:rPr>
          <w:rFonts w:ascii="Garamond" w:hAnsi="Garamond"/>
        </w:rPr>
        <w:t xml:space="preserve">The idea of formatting non-religion for a </w:t>
      </w:r>
      <w:r w:rsidR="00D57338">
        <w:rPr>
          <w:rFonts w:ascii="Garamond" w:hAnsi="Garamond"/>
        </w:rPr>
        <w:t xml:space="preserve">late modern society </w:t>
      </w:r>
      <w:r>
        <w:rPr>
          <w:rFonts w:ascii="Garamond" w:hAnsi="Garamond"/>
        </w:rPr>
        <w:t xml:space="preserve">conjures images of ordering and arranging categories in a very modern way. </w:t>
      </w:r>
      <w:r w:rsidR="006C1538">
        <w:rPr>
          <w:rFonts w:ascii="Garamond" w:hAnsi="Garamond"/>
        </w:rPr>
        <w:t xml:space="preserve">The proposed </w:t>
      </w:r>
      <w:r>
        <w:rPr>
          <w:rFonts w:ascii="Garamond" w:hAnsi="Garamond"/>
        </w:rPr>
        <w:t xml:space="preserve">paper </w:t>
      </w:r>
      <w:r w:rsidR="00D57338">
        <w:rPr>
          <w:rFonts w:ascii="Garamond" w:hAnsi="Garamond"/>
        </w:rPr>
        <w:t>gently</w:t>
      </w:r>
      <w:r>
        <w:rPr>
          <w:rFonts w:ascii="Garamond" w:hAnsi="Garamond"/>
        </w:rPr>
        <w:t xml:space="preserve"> question</w:t>
      </w:r>
      <w:r w:rsidR="00D57338">
        <w:rPr>
          <w:rFonts w:ascii="Garamond" w:hAnsi="Garamond"/>
        </w:rPr>
        <w:t>s</w:t>
      </w:r>
      <w:r>
        <w:rPr>
          <w:rFonts w:ascii="Garamond" w:hAnsi="Garamond"/>
        </w:rPr>
        <w:t xml:space="preserve"> </w:t>
      </w:r>
      <w:r w:rsidR="00873AA7">
        <w:rPr>
          <w:rFonts w:ascii="Garamond" w:hAnsi="Garamond"/>
        </w:rPr>
        <w:t>such</w:t>
      </w:r>
      <w:r>
        <w:rPr>
          <w:rFonts w:ascii="Garamond" w:hAnsi="Garamond"/>
        </w:rPr>
        <w:t xml:space="preserve"> formatting. While certain sectors</w:t>
      </w:r>
      <w:r w:rsidR="00D57338">
        <w:rPr>
          <w:rFonts w:ascii="Garamond" w:hAnsi="Garamond"/>
        </w:rPr>
        <w:t>,</w:t>
      </w:r>
      <w:r>
        <w:rPr>
          <w:rFonts w:ascii="Garamond" w:hAnsi="Garamond"/>
        </w:rPr>
        <w:t xml:space="preserve"> such as law</w:t>
      </w:r>
      <w:r w:rsidR="00D57338">
        <w:rPr>
          <w:rFonts w:ascii="Garamond" w:hAnsi="Garamond"/>
        </w:rPr>
        <w:t>,</w:t>
      </w:r>
      <w:r>
        <w:rPr>
          <w:rFonts w:ascii="Garamond" w:hAnsi="Garamond"/>
        </w:rPr>
        <w:t xml:space="preserve"> may require </w:t>
      </w:r>
      <w:r w:rsidR="009752BA">
        <w:rPr>
          <w:rFonts w:ascii="Garamond" w:hAnsi="Garamond"/>
        </w:rPr>
        <w:t xml:space="preserve">clearly defined parameters, other sectors may thrive on interrupting the process of </w:t>
      </w:r>
      <w:r w:rsidR="00D57338">
        <w:rPr>
          <w:rFonts w:ascii="Garamond" w:hAnsi="Garamond"/>
        </w:rPr>
        <w:t>formatting</w:t>
      </w:r>
      <w:r w:rsidR="009752BA">
        <w:rPr>
          <w:rFonts w:ascii="Garamond" w:hAnsi="Garamond"/>
        </w:rPr>
        <w:t xml:space="preserve">. </w:t>
      </w:r>
      <w:r w:rsidR="000B0A45">
        <w:rPr>
          <w:rFonts w:ascii="Garamond" w:hAnsi="Garamond"/>
        </w:rPr>
        <w:t>As</w:t>
      </w:r>
      <w:r w:rsidR="009752BA">
        <w:rPr>
          <w:rFonts w:ascii="Garamond" w:hAnsi="Garamond"/>
        </w:rPr>
        <w:t xml:space="preserve"> an example, </w:t>
      </w:r>
      <w:r w:rsidR="006C1538">
        <w:rPr>
          <w:rFonts w:ascii="Garamond" w:hAnsi="Garamond"/>
        </w:rPr>
        <w:t>the</w:t>
      </w:r>
      <w:r w:rsidR="009752BA">
        <w:rPr>
          <w:rFonts w:ascii="Garamond" w:hAnsi="Garamond"/>
        </w:rPr>
        <w:t xml:space="preserve"> paper</w:t>
      </w:r>
      <w:r>
        <w:rPr>
          <w:rFonts w:ascii="Garamond" w:hAnsi="Garamond"/>
        </w:rPr>
        <w:t xml:space="preserve"> </w:t>
      </w:r>
      <w:r w:rsidR="00332F8E">
        <w:rPr>
          <w:rFonts w:ascii="Garamond" w:hAnsi="Garamond"/>
        </w:rPr>
        <w:t>suggest</w:t>
      </w:r>
      <w:r w:rsidR="008C79BF">
        <w:rPr>
          <w:rFonts w:ascii="Garamond" w:hAnsi="Garamond"/>
        </w:rPr>
        <w:t>s</w:t>
      </w:r>
      <w:r>
        <w:rPr>
          <w:rFonts w:ascii="Garamond" w:hAnsi="Garamond"/>
        </w:rPr>
        <w:t xml:space="preserve"> that </w:t>
      </w:r>
      <w:r w:rsidR="003C5B2B">
        <w:rPr>
          <w:rFonts w:ascii="Garamond" w:hAnsi="Garamond"/>
        </w:rPr>
        <w:t>a particular approach to the study</w:t>
      </w:r>
      <w:r w:rsidR="003152C2">
        <w:rPr>
          <w:rFonts w:ascii="Garamond" w:hAnsi="Garamond"/>
        </w:rPr>
        <w:t xml:space="preserve"> of non-religious </w:t>
      </w:r>
      <w:r w:rsidR="00D57338">
        <w:rPr>
          <w:rFonts w:ascii="Garamond" w:hAnsi="Garamond"/>
        </w:rPr>
        <w:t xml:space="preserve">citizens in </w:t>
      </w:r>
      <w:r w:rsidR="003152C2">
        <w:rPr>
          <w:rFonts w:ascii="Garamond" w:hAnsi="Garamond"/>
        </w:rPr>
        <w:t>political spaces</w:t>
      </w:r>
      <w:r>
        <w:rPr>
          <w:rFonts w:ascii="Garamond" w:hAnsi="Garamond"/>
        </w:rPr>
        <w:t xml:space="preserve"> can provide pathways to “</w:t>
      </w:r>
      <w:proofErr w:type="spellStart"/>
      <w:r>
        <w:rPr>
          <w:rFonts w:ascii="Garamond" w:hAnsi="Garamond"/>
        </w:rPr>
        <w:t>unformatting</w:t>
      </w:r>
      <w:proofErr w:type="spellEnd"/>
      <w:r>
        <w:rPr>
          <w:rFonts w:ascii="Garamond" w:hAnsi="Garamond"/>
        </w:rPr>
        <w:t>”</w:t>
      </w:r>
      <w:r w:rsidR="009752BA">
        <w:rPr>
          <w:rFonts w:ascii="Garamond" w:hAnsi="Garamond"/>
        </w:rPr>
        <w:t xml:space="preserve"> modern </w:t>
      </w:r>
      <w:r w:rsidR="002946FF">
        <w:rPr>
          <w:rFonts w:ascii="Garamond" w:hAnsi="Garamond"/>
        </w:rPr>
        <w:t>binaries such as religious/secular, religion/politics</w:t>
      </w:r>
      <w:r w:rsidR="00D57338">
        <w:rPr>
          <w:rFonts w:ascii="Garamond" w:hAnsi="Garamond"/>
        </w:rPr>
        <w:t xml:space="preserve">, and, in so </w:t>
      </w:r>
      <w:proofErr w:type="gramStart"/>
      <w:r w:rsidR="00D57338">
        <w:rPr>
          <w:rFonts w:ascii="Garamond" w:hAnsi="Garamond"/>
        </w:rPr>
        <w:t xml:space="preserve">doing, </w:t>
      </w:r>
      <w:r w:rsidR="009752BA">
        <w:rPr>
          <w:rFonts w:ascii="Garamond" w:hAnsi="Garamond"/>
        </w:rPr>
        <w:t xml:space="preserve"> </w:t>
      </w:r>
      <w:r w:rsidR="009C6408">
        <w:rPr>
          <w:rFonts w:ascii="Garamond" w:hAnsi="Garamond"/>
        </w:rPr>
        <w:t>reinv</w:t>
      </w:r>
      <w:r w:rsidR="008E01DE">
        <w:rPr>
          <w:rFonts w:ascii="Garamond" w:hAnsi="Garamond"/>
        </w:rPr>
        <w:t>igorate</w:t>
      </w:r>
      <w:proofErr w:type="gramEnd"/>
      <w:r w:rsidR="008E01DE">
        <w:rPr>
          <w:rFonts w:ascii="Garamond" w:hAnsi="Garamond"/>
        </w:rPr>
        <w:t xml:space="preserve"> democratic politics with </w:t>
      </w:r>
      <w:r w:rsidR="005F0F4F">
        <w:rPr>
          <w:rFonts w:ascii="Garamond" w:hAnsi="Garamond"/>
        </w:rPr>
        <w:t xml:space="preserve">a </w:t>
      </w:r>
      <w:r w:rsidR="008E01DE">
        <w:rPr>
          <w:rFonts w:ascii="Garamond" w:hAnsi="Garamond"/>
        </w:rPr>
        <w:t xml:space="preserve">much-needed </w:t>
      </w:r>
      <w:r w:rsidR="009C6408">
        <w:rPr>
          <w:rFonts w:ascii="Garamond" w:hAnsi="Garamond"/>
        </w:rPr>
        <w:t>vitality</w:t>
      </w:r>
      <w:r w:rsidR="008E01DE">
        <w:rPr>
          <w:rFonts w:ascii="Garamond" w:hAnsi="Garamond"/>
        </w:rPr>
        <w:t xml:space="preserve"> that has been lost in recent decades and ceded to populist politicians</w:t>
      </w:r>
      <w:r w:rsidR="009C6408">
        <w:rPr>
          <w:rFonts w:ascii="Garamond" w:hAnsi="Garamond"/>
        </w:rPr>
        <w:t xml:space="preserve">. </w:t>
      </w:r>
    </w:p>
    <w:p w:rsidR="004D5C8F" w:rsidRDefault="004D5C8F" w:rsidP="0095398C">
      <w:pPr>
        <w:jc w:val="both"/>
        <w:rPr>
          <w:rFonts w:ascii="Garamond" w:hAnsi="Garamond"/>
        </w:rPr>
      </w:pPr>
    </w:p>
    <w:p w:rsidR="00C707A9" w:rsidRDefault="00E33D78" w:rsidP="0095398C">
      <w:pPr>
        <w:jc w:val="both"/>
        <w:rPr>
          <w:rFonts w:ascii="Garamond" w:hAnsi="Garamond"/>
        </w:rPr>
      </w:pPr>
      <w:r>
        <w:rPr>
          <w:rFonts w:ascii="Garamond" w:hAnsi="Garamond"/>
        </w:rPr>
        <w:t>The paper opens by observing that t</w:t>
      </w:r>
      <w:r w:rsidR="0095398C">
        <w:rPr>
          <w:rFonts w:ascii="Garamond" w:hAnsi="Garamond"/>
        </w:rPr>
        <w:t>he last twenty years has seen a reawakening to the continued role of religion in the public sphere amongst politicians, policy makers and practitioners</w:t>
      </w:r>
      <w:r w:rsidR="00222150">
        <w:rPr>
          <w:rFonts w:ascii="Garamond" w:hAnsi="Garamond"/>
        </w:rPr>
        <w:t xml:space="preserve"> </w:t>
      </w:r>
      <w:r w:rsidR="00222150">
        <w:rPr>
          <w:rFonts w:ascii="Garamond" w:hAnsi="Garamond"/>
        </w:rPr>
        <w:fldChar w:fldCharType="begin"/>
      </w:r>
      <w:r w:rsidR="00222150">
        <w:rPr>
          <w:rFonts w:ascii="Garamond" w:hAnsi="Garamond"/>
        </w:rPr>
        <w:instrText xml:space="preserve"> ADDIN ZOTERO_ITEM CSL_CITATION {"citationID":"ENXYDvt0","properties":{"formattedCitation":"(Dinham 2009; Baker 2013; Wood 2002)","plainCitation":"(Dinham 2009; Baker 2013; Wood 2002)"},"citationItems":[{"id":90,"uris":["http://zotero.org/users/4241399/items/AMDQC6XJ"],"uri":["http://zotero.org/users/4241399/items/AMDQC6XJ"],"itemData":{"id":90,"type":"book","title":"Faith, public policy and civil society problems, policies, controversies","publisher":"Palgrave Macmillan","publisher-place":"Basingstoke","source":"Open WorldCat","event-place":"Basingstoke","abstract":"Using empirical data and theory, this book explores the role of faiths as public actors; their contribution to welfare services, how they help build community cohesion - and break it down - and what it means for them and for others to be involved in new modes of governance. It asks does their emphatic presence threaten the public table, or might it stimulate a new and helpful way of doing things? The very idea of faiths at the public table raises controversy: what 'faith' is and what 'faiths' are, the relationship between faiths, public policy and civil society; and questions about the role - for that matter the legitimacy - of public faith. This book brings those controversies to the surface and rethinks what faiths bring to the public sphere.--Résumé de l'éditeur.","URL":"http://www.palgraveconnect.com/doifinder/10.1057/9780230234307","ISBN":"978-0-230-23430-7","note":"OCLC: 701615714","language":"English","author":[{"family":"Dinham","given":"Adam"}],"issued":{"date-parts":[["2009"]]},"accessed":{"date-parts":[["2017",11,10]]}}},{"id":128,"uris":["http://zotero.org/users/4241399/items/PBYZPM58"],"uri":["http://zotero.org/users/4241399/items/PBYZPM58"],"itemData":{"id":128,"type":"article-journal","title":"Moral Freighting and Civic Engagement: A UK Perspective on Putnam and Campbell's Theory of Religious-Based Social Action","container-title":"Sociology of Religion","page":"343-369","volume":"74","issue":"3","source":"CrossRef","DOI":"10.1093/socrel/srt013","ISSN":"1069-4404, 1759-8818","shortTitle":"Moral Freighting and Civic Engagement","language":"en","author":[{"family":"Baker","given":"Chris"}],"issued":{"date-parts":[["2013",9,1]]}}},{"id":126,"uris":["http://zotero.org/users/4241399/items/WYQPDZFI"],"uri":["http://zotero.org/users/4241399/items/WYQPDZFI"],"itemData":{"id":126,"type":"book","title":"Faith in action: religion, race, and democratic organizing in America","publisher":"University of Chicago Press","publisher-place":"Chicago, Ill.; London","source":"Open WorldCat","event-place":"Chicago, Ill.; London","ISBN":"978-0-226-90595-2","note":"OCLC: 989985626","shortTitle":"Faith in action","language":"English","author":[{"family":"Wood","given":"Richard L"}],"issued":{"date-parts":[["2002"]]}}}],"schema":"https://github.com/citation-style-language/schema/raw/master/csl-citation.json"} </w:instrText>
      </w:r>
      <w:r w:rsidR="00222150">
        <w:rPr>
          <w:rFonts w:ascii="Garamond" w:hAnsi="Garamond"/>
        </w:rPr>
        <w:fldChar w:fldCharType="separate"/>
      </w:r>
      <w:r w:rsidR="00222150">
        <w:rPr>
          <w:rFonts w:ascii="Garamond" w:hAnsi="Garamond"/>
          <w:noProof/>
        </w:rPr>
        <w:t>(Dinham 2009; Baker 2013; Wood 2002)</w:t>
      </w:r>
      <w:r w:rsidR="00222150">
        <w:rPr>
          <w:rFonts w:ascii="Garamond" w:hAnsi="Garamond"/>
        </w:rPr>
        <w:fldChar w:fldCharType="end"/>
      </w:r>
      <w:r w:rsidR="0095398C">
        <w:rPr>
          <w:rFonts w:ascii="Garamond" w:hAnsi="Garamond"/>
        </w:rPr>
        <w:t>.</w:t>
      </w:r>
      <w:r w:rsidR="00222150">
        <w:rPr>
          <w:rFonts w:ascii="Garamond" w:hAnsi="Garamond"/>
        </w:rPr>
        <w:t xml:space="preserve"> </w:t>
      </w:r>
      <w:r>
        <w:rPr>
          <w:rFonts w:ascii="Garamond" w:hAnsi="Garamond"/>
        </w:rPr>
        <w:t xml:space="preserve">Yet it suggests that </w:t>
      </w:r>
      <w:r w:rsidR="006C1538">
        <w:rPr>
          <w:rFonts w:ascii="Garamond" w:hAnsi="Garamond"/>
        </w:rPr>
        <w:t>in policy in particular</w:t>
      </w:r>
      <w:r>
        <w:rPr>
          <w:rFonts w:ascii="Garamond" w:hAnsi="Garamond"/>
        </w:rPr>
        <w:t xml:space="preserve"> this renewed awareness has often represented little more than a new approach to control</w:t>
      </w:r>
      <w:r w:rsidR="00C707A9">
        <w:rPr>
          <w:rFonts w:ascii="Garamond" w:hAnsi="Garamond"/>
        </w:rPr>
        <w:t>ling religions</w:t>
      </w:r>
      <w:r w:rsidR="008379C7">
        <w:rPr>
          <w:rFonts w:ascii="Garamond" w:hAnsi="Garamond"/>
        </w:rPr>
        <w:t xml:space="preserve"> </w:t>
      </w:r>
      <w:r w:rsidR="008379C7">
        <w:rPr>
          <w:rFonts w:ascii="Garamond" w:hAnsi="Garamond"/>
        </w:rPr>
        <w:fldChar w:fldCharType="begin"/>
      </w:r>
      <w:r w:rsidR="008379C7">
        <w:rPr>
          <w:rFonts w:ascii="Garamond" w:hAnsi="Garamond"/>
        </w:rPr>
        <w:instrText xml:space="preserve"> ADDIN ZOTERO_ITEM CSL_CITATION {"citationID":"qzN9eZLK","properties":{"formattedCitation":"(Beckford 2012)","plainCitation":"(Beckford 2012)"},"citationItems":[{"id":88,"uris":["http://zotero.org/users/4241399/items/V3E7C7TQ"],"uri":["http://zotero.org/users/4241399/items/V3E7C7TQ"],"itemData":{"id":88,"type":"article-journal","title":"SSSR Presidential Address Public Religions and the Postsecular: Critical Reflections","container-title":"Journal for the Scientific Study of Religion","page":"1-19","volume":"51","issue":"1","source":"CrossRef","DOI":"10.1111/j.1468-5906.2011.01625.x","ISSN":"00218294","shortTitle":"SSSR Presidential Address Public Religions and the Postsecular","language":"en","author":[{"family":"Beckford","given":"James A."}],"issued":{"date-parts":[["2012",3]]}}}],"schema":"https://github.com/citation-style-language/schema/raw/master/csl-citation.json"} </w:instrText>
      </w:r>
      <w:r w:rsidR="008379C7">
        <w:rPr>
          <w:rFonts w:ascii="Garamond" w:hAnsi="Garamond"/>
        </w:rPr>
        <w:fldChar w:fldCharType="separate"/>
      </w:r>
      <w:r w:rsidR="008379C7">
        <w:rPr>
          <w:rFonts w:ascii="Garamond" w:hAnsi="Garamond"/>
          <w:noProof/>
        </w:rPr>
        <w:t>(Beckford 2012)</w:t>
      </w:r>
      <w:r w:rsidR="008379C7">
        <w:rPr>
          <w:rFonts w:ascii="Garamond" w:hAnsi="Garamond"/>
        </w:rPr>
        <w:fldChar w:fldCharType="end"/>
      </w:r>
      <w:r>
        <w:rPr>
          <w:rFonts w:ascii="Garamond" w:hAnsi="Garamond"/>
        </w:rPr>
        <w:t xml:space="preserve">. </w:t>
      </w:r>
      <w:r w:rsidR="00C707A9">
        <w:rPr>
          <w:rFonts w:ascii="Garamond" w:hAnsi="Garamond"/>
        </w:rPr>
        <w:t xml:space="preserve">Alternatively, </w:t>
      </w:r>
      <w:r w:rsidR="003335A5">
        <w:rPr>
          <w:rFonts w:ascii="Garamond" w:hAnsi="Garamond"/>
        </w:rPr>
        <w:t>more radical theorists have seen this awakening as an opportunity to challenge the dominance of bureaucratic rationalisation,</w:t>
      </w:r>
      <w:r w:rsidR="00EF36F8">
        <w:rPr>
          <w:rFonts w:ascii="Garamond" w:hAnsi="Garamond"/>
        </w:rPr>
        <w:t xml:space="preserve"> individualism and material values</w:t>
      </w:r>
      <w:r w:rsidR="001C55B5">
        <w:rPr>
          <w:rFonts w:ascii="Garamond" w:hAnsi="Garamond"/>
        </w:rPr>
        <w:t>, and thereby reinvigorate interest in democratic politics</w:t>
      </w:r>
      <w:r w:rsidR="008379C7">
        <w:rPr>
          <w:rFonts w:ascii="Garamond" w:hAnsi="Garamond"/>
        </w:rPr>
        <w:t xml:space="preserve"> </w:t>
      </w:r>
      <w:r w:rsidR="008379C7">
        <w:rPr>
          <w:rFonts w:ascii="Garamond" w:hAnsi="Garamond"/>
        </w:rPr>
        <w:fldChar w:fldCharType="begin"/>
      </w:r>
      <w:r w:rsidR="008379C7">
        <w:rPr>
          <w:rFonts w:ascii="Garamond" w:hAnsi="Garamond"/>
        </w:rPr>
        <w:instrText xml:space="preserve"> ADDIN ZOTERO_ITEM CSL_CITATION {"citationID":"yGXukMiP","properties":{"formattedCitation":"(Jamoul and Wills 2008; Cloke, Sutherland, and Williams 2016)","plainCitation":"(Jamoul and Wills 2008; Cloke, Sutherland, and Williams 2016)"},"citationItems":[{"id":185,"uris":["http://zotero.org/users/4241399/items/HDP2Z2JY"],"uri":["http://zotero.org/users/4241399/items/HDP2Z2JY"],"itemData":{"id":185,"type":"article-journal","title":"Faith in Politics","container-title":"Urban Studies","page":"2035-2056","volume":"45","issue":"10","source":"CrossRef","DOI":"10.1177/0042098008094872","ISSN":"0042-0980, 1360-063X","language":"en","author":[{"family":"Jamoul","given":"Lina"},{"family":"Wills","given":"Jane"}],"issued":{"date-parts":[["2008",9]]}}},{"id":252,"uris":["http://zotero.org/users/4241399/items/WHXDYX79"],"uri":["http://zotero.org/users/4241399/items/WHXDYX79"],"itemData":{"id":252,"type":"article-journal","title":"Postsecularity, Political Resistance, and Protest in the Occupy Movement: Postsecularity in the Occupy Movement","container-title":"Antipode","page":"497-523","volume":"48","issue":"3","source":"CrossRef","DOI":"10.1111/anti.12200","ISSN":"00664812","shortTitle":"Postsecularity, Political Resistance, and Protest in the Occupy Movement","language":"en","author":[{"family":"Cloke","given":"Paul"},{"family":"Sutherland","given":"Callum"},{"family":"Williams","given":"Andrew"}],"issued":{"date-parts":[["2016",6]]}}}],"schema":"https://github.com/citation-style-language/schema/raw/master/csl-citation.json"} </w:instrText>
      </w:r>
      <w:r w:rsidR="008379C7">
        <w:rPr>
          <w:rFonts w:ascii="Garamond" w:hAnsi="Garamond"/>
        </w:rPr>
        <w:fldChar w:fldCharType="separate"/>
      </w:r>
      <w:r w:rsidR="008379C7">
        <w:rPr>
          <w:rFonts w:ascii="Garamond" w:hAnsi="Garamond"/>
          <w:noProof/>
        </w:rPr>
        <w:t>(Jamoul and Wills 2008; Cloke, Sutherland, and Williams 2016)</w:t>
      </w:r>
      <w:r w:rsidR="008379C7">
        <w:rPr>
          <w:rFonts w:ascii="Garamond" w:hAnsi="Garamond"/>
        </w:rPr>
        <w:fldChar w:fldCharType="end"/>
      </w:r>
      <w:r w:rsidR="003335A5">
        <w:rPr>
          <w:rFonts w:ascii="Garamond" w:hAnsi="Garamond"/>
        </w:rPr>
        <w:t>.</w:t>
      </w:r>
    </w:p>
    <w:p w:rsidR="001647B7" w:rsidRDefault="001647B7" w:rsidP="0095398C">
      <w:pPr>
        <w:jc w:val="both"/>
        <w:rPr>
          <w:rFonts w:ascii="Garamond" w:hAnsi="Garamond"/>
        </w:rPr>
      </w:pPr>
    </w:p>
    <w:p w:rsidR="002946FF" w:rsidRDefault="002946FF" w:rsidP="0095398C">
      <w:pPr>
        <w:jc w:val="both"/>
        <w:rPr>
          <w:rFonts w:ascii="Garamond" w:hAnsi="Garamond"/>
        </w:rPr>
      </w:pPr>
      <w:r>
        <w:rPr>
          <w:rFonts w:ascii="Garamond" w:hAnsi="Garamond"/>
        </w:rPr>
        <w:t>I</w:t>
      </w:r>
      <w:r w:rsidR="006C58C1">
        <w:rPr>
          <w:rFonts w:ascii="Garamond" w:hAnsi="Garamond"/>
        </w:rPr>
        <w:t>t</w:t>
      </w:r>
      <w:r>
        <w:rPr>
          <w:rFonts w:ascii="Garamond" w:hAnsi="Garamond"/>
        </w:rPr>
        <w:t xml:space="preserve"> then</w:t>
      </w:r>
      <w:r w:rsidR="00F22EFE">
        <w:rPr>
          <w:rFonts w:ascii="Garamond" w:hAnsi="Garamond"/>
        </w:rPr>
        <w:t xml:space="preserve"> </w:t>
      </w:r>
      <w:r>
        <w:rPr>
          <w:rFonts w:ascii="Garamond" w:hAnsi="Garamond"/>
        </w:rPr>
        <w:t>suggest</w:t>
      </w:r>
      <w:r w:rsidR="006C58C1">
        <w:rPr>
          <w:rFonts w:ascii="Garamond" w:hAnsi="Garamond"/>
        </w:rPr>
        <w:t>s</w:t>
      </w:r>
      <w:r>
        <w:rPr>
          <w:rFonts w:ascii="Garamond" w:hAnsi="Garamond"/>
        </w:rPr>
        <w:t xml:space="preserve"> that</w:t>
      </w:r>
      <w:r w:rsidR="00F22EFE">
        <w:rPr>
          <w:rFonts w:ascii="Garamond" w:hAnsi="Garamond"/>
        </w:rPr>
        <w:t xml:space="preserve"> </w:t>
      </w:r>
      <w:r w:rsidR="00552934">
        <w:rPr>
          <w:rFonts w:ascii="Garamond" w:hAnsi="Garamond"/>
        </w:rPr>
        <w:t xml:space="preserve">religion does not have a monopoly on this counter-cultural capacity. </w:t>
      </w:r>
      <w:r w:rsidR="006C58C1">
        <w:rPr>
          <w:rFonts w:ascii="Garamond" w:hAnsi="Garamond"/>
        </w:rPr>
        <w:t>By way of demonstrating this, the paper</w:t>
      </w:r>
      <w:r w:rsidR="008C79BF">
        <w:rPr>
          <w:rFonts w:ascii="Garamond" w:hAnsi="Garamond"/>
        </w:rPr>
        <w:t xml:space="preserve"> </w:t>
      </w:r>
      <w:r w:rsidR="008C79BF">
        <w:rPr>
          <w:rFonts w:ascii="Garamond" w:hAnsi="Garamond"/>
        </w:rPr>
        <w:t>draws on ethnographic research amongst political activists in Vancouver, Canada, to</w:t>
      </w:r>
      <w:r>
        <w:rPr>
          <w:rFonts w:ascii="Garamond" w:hAnsi="Garamond"/>
        </w:rPr>
        <w:t xml:space="preserve"> </w:t>
      </w:r>
      <w:r w:rsidR="008C79BF">
        <w:rPr>
          <w:rFonts w:ascii="Garamond" w:hAnsi="Garamond"/>
        </w:rPr>
        <w:t>highlight</w:t>
      </w:r>
      <w:r w:rsidR="006C58C1">
        <w:rPr>
          <w:rFonts w:ascii="Garamond" w:hAnsi="Garamond"/>
        </w:rPr>
        <w:t xml:space="preserve"> the</w:t>
      </w:r>
      <w:r>
        <w:rPr>
          <w:rFonts w:ascii="Garamond" w:hAnsi="Garamond"/>
        </w:rPr>
        <w:t xml:space="preserve"> “myths” of non-religious citizens. </w:t>
      </w:r>
      <w:r w:rsidR="00D641AC">
        <w:rPr>
          <w:rFonts w:ascii="Garamond" w:hAnsi="Garamond"/>
        </w:rPr>
        <w:t xml:space="preserve">These myths are core to political mobilisation. </w:t>
      </w:r>
      <w:r>
        <w:rPr>
          <w:rFonts w:ascii="Garamond" w:hAnsi="Garamond"/>
        </w:rPr>
        <w:t xml:space="preserve">But </w:t>
      </w:r>
      <w:bookmarkStart w:id="0" w:name="_GoBack"/>
      <w:bookmarkEnd w:id="0"/>
      <w:r w:rsidR="006C58C1">
        <w:rPr>
          <w:rFonts w:ascii="Garamond" w:hAnsi="Garamond"/>
        </w:rPr>
        <w:t>the paper</w:t>
      </w:r>
      <w:r>
        <w:rPr>
          <w:rFonts w:ascii="Garamond" w:hAnsi="Garamond"/>
        </w:rPr>
        <w:t xml:space="preserve"> then suggest</w:t>
      </w:r>
      <w:r w:rsidR="006C58C1">
        <w:rPr>
          <w:rFonts w:ascii="Garamond" w:hAnsi="Garamond"/>
        </w:rPr>
        <w:t>s</w:t>
      </w:r>
      <w:r>
        <w:rPr>
          <w:rFonts w:ascii="Garamond" w:hAnsi="Garamond"/>
        </w:rPr>
        <w:t xml:space="preserve"> that the dominance of religious/secular, religion/politics binaries in political spaces has undermined the capacity of non-religious citizens to reflect on their </w:t>
      </w:r>
      <w:r w:rsidR="00417436">
        <w:rPr>
          <w:rFonts w:ascii="Garamond" w:hAnsi="Garamond"/>
        </w:rPr>
        <w:t>myths</w:t>
      </w:r>
      <w:r>
        <w:rPr>
          <w:rFonts w:ascii="Garamond" w:hAnsi="Garamond"/>
        </w:rPr>
        <w:t xml:space="preserve">. </w:t>
      </w:r>
      <w:r w:rsidR="001C55B5">
        <w:rPr>
          <w:rFonts w:ascii="Garamond" w:hAnsi="Garamond"/>
        </w:rPr>
        <w:t xml:space="preserve">By </w:t>
      </w:r>
      <w:proofErr w:type="spellStart"/>
      <w:r w:rsidR="004518C9">
        <w:rPr>
          <w:rFonts w:ascii="Garamond" w:hAnsi="Garamond"/>
        </w:rPr>
        <w:t>unformatting</w:t>
      </w:r>
      <w:proofErr w:type="spellEnd"/>
      <w:r w:rsidR="004518C9">
        <w:rPr>
          <w:rFonts w:ascii="Garamond" w:hAnsi="Garamond"/>
        </w:rPr>
        <w:t xml:space="preserve"> these </w:t>
      </w:r>
      <w:r w:rsidR="006C58C1">
        <w:rPr>
          <w:rFonts w:ascii="Garamond" w:hAnsi="Garamond"/>
        </w:rPr>
        <w:t>binaries</w:t>
      </w:r>
      <w:r w:rsidR="004518C9">
        <w:rPr>
          <w:rFonts w:ascii="Garamond" w:hAnsi="Garamond"/>
        </w:rPr>
        <w:t>, democratic politics can ignite engagement amongst a growing population of non-religious citizens.</w:t>
      </w:r>
    </w:p>
    <w:p w:rsidR="00222150" w:rsidRDefault="00222150">
      <w:pPr>
        <w:rPr>
          <w:rFonts w:ascii="Garamond" w:hAnsi="Garamond"/>
        </w:rPr>
      </w:pPr>
    </w:p>
    <w:p w:rsidR="00EE0794" w:rsidRDefault="00EE0794">
      <w:pPr>
        <w:rPr>
          <w:rFonts w:ascii="Garamond" w:hAnsi="Garamond"/>
          <w:b/>
        </w:rPr>
      </w:pPr>
      <w:proofErr w:type="spellStart"/>
      <w:r>
        <w:rPr>
          <w:rFonts w:ascii="Garamond" w:hAnsi="Garamond"/>
          <w:b/>
        </w:rPr>
        <w:t>Eurel</w:t>
      </w:r>
      <w:proofErr w:type="spellEnd"/>
      <w:r>
        <w:rPr>
          <w:rFonts w:ascii="Garamond" w:hAnsi="Garamond"/>
          <w:b/>
        </w:rPr>
        <w:t xml:space="preserve"> Prize</w:t>
      </w:r>
    </w:p>
    <w:p w:rsidR="00EE0794" w:rsidRDefault="00EE0794">
      <w:pPr>
        <w:rPr>
          <w:rFonts w:ascii="Garamond" w:hAnsi="Garamond"/>
        </w:rPr>
      </w:pPr>
    </w:p>
    <w:p w:rsidR="00EE0794" w:rsidRPr="00EE0794" w:rsidRDefault="00EE0794">
      <w:r>
        <w:rPr>
          <w:rFonts w:ascii="Garamond" w:hAnsi="Garamond"/>
        </w:rPr>
        <w:t xml:space="preserve">I </w:t>
      </w:r>
      <w:r w:rsidR="00361105">
        <w:rPr>
          <w:rFonts w:ascii="Garamond" w:hAnsi="Garamond"/>
        </w:rPr>
        <w:t>received</w:t>
      </w:r>
      <w:r>
        <w:rPr>
          <w:rFonts w:ascii="Garamond" w:hAnsi="Garamond"/>
        </w:rPr>
        <w:t xml:space="preserve"> my PhD in </w:t>
      </w:r>
      <w:r w:rsidR="00361105">
        <w:rPr>
          <w:rFonts w:ascii="Garamond" w:hAnsi="Garamond"/>
        </w:rPr>
        <w:t>July</w:t>
      </w:r>
      <w:r>
        <w:rPr>
          <w:rFonts w:ascii="Garamond" w:hAnsi="Garamond"/>
        </w:rPr>
        <w:t xml:space="preserve"> 2016</w:t>
      </w:r>
    </w:p>
    <w:sectPr w:rsidR="00EE0794" w:rsidRPr="00EE0794" w:rsidSect="00131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231A"/>
    <w:multiLevelType w:val="multilevel"/>
    <w:tmpl w:val="8F6E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8C"/>
    <w:rsid w:val="000B0A45"/>
    <w:rsid w:val="000B545D"/>
    <w:rsid w:val="00101CE1"/>
    <w:rsid w:val="0013114B"/>
    <w:rsid w:val="001647B7"/>
    <w:rsid w:val="00186449"/>
    <w:rsid w:val="001907F1"/>
    <w:rsid w:val="001B13F1"/>
    <w:rsid w:val="001C55B5"/>
    <w:rsid w:val="00222150"/>
    <w:rsid w:val="002648EC"/>
    <w:rsid w:val="00281C39"/>
    <w:rsid w:val="002946FF"/>
    <w:rsid w:val="003152C2"/>
    <w:rsid w:val="00332F8E"/>
    <w:rsid w:val="003335A5"/>
    <w:rsid w:val="00361105"/>
    <w:rsid w:val="003C5B2B"/>
    <w:rsid w:val="00417436"/>
    <w:rsid w:val="004518C9"/>
    <w:rsid w:val="004D5C8F"/>
    <w:rsid w:val="00552934"/>
    <w:rsid w:val="005F0F4F"/>
    <w:rsid w:val="00634D15"/>
    <w:rsid w:val="00646662"/>
    <w:rsid w:val="006B6459"/>
    <w:rsid w:val="006C1538"/>
    <w:rsid w:val="006C58C1"/>
    <w:rsid w:val="006D3E31"/>
    <w:rsid w:val="007B15DC"/>
    <w:rsid w:val="008379C7"/>
    <w:rsid w:val="00873AA7"/>
    <w:rsid w:val="008C79BF"/>
    <w:rsid w:val="008E01DE"/>
    <w:rsid w:val="0095398C"/>
    <w:rsid w:val="009752BA"/>
    <w:rsid w:val="009C6408"/>
    <w:rsid w:val="009F0004"/>
    <w:rsid w:val="00BE6E15"/>
    <w:rsid w:val="00C13726"/>
    <w:rsid w:val="00C6279A"/>
    <w:rsid w:val="00C707A9"/>
    <w:rsid w:val="00D57338"/>
    <w:rsid w:val="00D641AC"/>
    <w:rsid w:val="00E33D78"/>
    <w:rsid w:val="00EE0794"/>
    <w:rsid w:val="00EF36F8"/>
    <w:rsid w:val="00F22EFE"/>
    <w:rsid w:val="00FE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42476"/>
  <w14:defaultImageDpi w14:val="32767"/>
  <w15:chartTrackingRefBased/>
  <w15:docId w15:val="{C70FCEF6-0915-4C47-8267-74D10626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98C"/>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004"/>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9F0004"/>
    <w:pPr>
      <w:ind w:left="720"/>
      <w:contextualSpacing/>
    </w:pPr>
  </w:style>
  <w:style w:type="character" w:styleId="Hyperlink">
    <w:name w:val="Hyperlink"/>
    <w:basedOn w:val="DefaultParagraphFont"/>
    <w:uiPriority w:val="99"/>
    <w:unhideWhenUsed/>
    <w:rsid w:val="00186449"/>
    <w:rPr>
      <w:color w:val="0563C1" w:themeColor="hyperlink"/>
      <w:u w:val="single"/>
    </w:rPr>
  </w:style>
  <w:style w:type="character" w:styleId="UnresolvedMention">
    <w:name w:val="Unresolved Mention"/>
    <w:basedOn w:val="DefaultParagraphFont"/>
    <w:uiPriority w:val="99"/>
    <w:rsid w:val="001864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7732">
      <w:bodyDiv w:val="1"/>
      <w:marLeft w:val="0"/>
      <w:marRight w:val="0"/>
      <w:marTop w:val="0"/>
      <w:marBottom w:val="0"/>
      <w:divBdr>
        <w:top w:val="none" w:sz="0" w:space="0" w:color="auto"/>
        <w:left w:val="none" w:sz="0" w:space="0" w:color="auto"/>
        <w:bottom w:val="none" w:sz="0" w:space="0" w:color="auto"/>
        <w:right w:val="none" w:sz="0" w:space="0" w:color="auto"/>
      </w:divBdr>
      <w:divsChild>
        <w:div w:id="886719653">
          <w:marLeft w:val="0"/>
          <w:marRight w:val="0"/>
          <w:marTop w:val="0"/>
          <w:marBottom w:val="0"/>
          <w:divBdr>
            <w:top w:val="none" w:sz="0" w:space="0" w:color="auto"/>
            <w:left w:val="none" w:sz="0" w:space="0" w:color="auto"/>
            <w:bottom w:val="none" w:sz="0" w:space="0" w:color="auto"/>
            <w:right w:val="none" w:sz="0" w:space="0" w:color="auto"/>
          </w:divBdr>
          <w:divsChild>
            <w:div w:id="1696347601">
              <w:marLeft w:val="0"/>
              <w:marRight w:val="0"/>
              <w:marTop w:val="0"/>
              <w:marBottom w:val="0"/>
              <w:divBdr>
                <w:top w:val="none" w:sz="0" w:space="0" w:color="auto"/>
                <w:left w:val="none" w:sz="0" w:space="0" w:color="auto"/>
                <w:bottom w:val="none" w:sz="0" w:space="0" w:color="auto"/>
                <w:right w:val="none" w:sz="0" w:space="0" w:color="auto"/>
              </w:divBdr>
              <w:divsChild>
                <w:div w:id="12849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6473">
      <w:bodyDiv w:val="1"/>
      <w:marLeft w:val="0"/>
      <w:marRight w:val="0"/>
      <w:marTop w:val="0"/>
      <w:marBottom w:val="0"/>
      <w:divBdr>
        <w:top w:val="none" w:sz="0" w:space="0" w:color="auto"/>
        <w:left w:val="none" w:sz="0" w:space="0" w:color="auto"/>
        <w:bottom w:val="none" w:sz="0" w:space="0" w:color="auto"/>
        <w:right w:val="none" w:sz="0" w:space="0" w:color="auto"/>
      </w:divBdr>
      <w:divsChild>
        <w:div w:id="1440249523">
          <w:marLeft w:val="0"/>
          <w:marRight w:val="0"/>
          <w:marTop w:val="0"/>
          <w:marBottom w:val="0"/>
          <w:divBdr>
            <w:top w:val="none" w:sz="0" w:space="0" w:color="auto"/>
            <w:left w:val="none" w:sz="0" w:space="0" w:color="auto"/>
            <w:bottom w:val="none" w:sz="0" w:space="0" w:color="auto"/>
            <w:right w:val="none" w:sz="0" w:space="0" w:color="auto"/>
          </w:divBdr>
          <w:divsChild>
            <w:div w:id="1132091894">
              <w:marLeft w:val="0"/>
              <w:marRight w:val="0"/>
              <w:marTop w:val="0"/>
              <w:marBottom w:val="0"/>
              <w:divBdr>
                <w:top w:val="none" w:sz="0" w:space="0" w:color="auto"/>
                <w:left w:val="none" w:sz="0" w:space="0" w:color="auto"/>
                <w:bottom w:val="none" w:sz="0" w:space="0" w:color="auto"/>
                <w:right w:val="none" w:sz="0" w:space="0" w:color="auto"/>
              </w:divBdr>
              <w:divsChild>
                <w:div w:id="20029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othyjstacey@gmail.com" TargetMode="External"/><Relationship Id="rId5" Type="http://schemas.openxmlformats.org/officeDocument/2006/relationships/hyperlink" Target="mailto:tstacey@uottaw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Stacey</dc:creator>
  <cp:keywords/>
  <dc:description/>
  <cp:lastModifiedBy>Timothy Stacey</cp:lastModifiedBy>
  <cp:revision>37</cp:revision>
  <dcterms:created xsi:type="dcterms:W3CDTF">2018-02-28T23:36:00Z</dcterms:created>
  <dcterms:modified xsi:type="dcterms:W3CDTF">2018-03-01T01:18:00Z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id="bSKdDaeW"/&gt;&lt;style id="http://www.zotero.org/styles/chicago-author-date" locale="en-US" hasBibliography="1" bibliographyStyleHasBeenSet="0"/&gt;&lt;prefs&gt;&lt;pref name="fieldType" value="Field"/&gt;&lt;pref na</vt:lpwstr>
  </property>
  <property fmtid="{D5CDD505-2E9C-101B-9397-08002B2CF9AE}" pid="3" name="ZOTERO_PREF_2">
    <vt:lpwstr>me="automaticJournalAbbreviations" value="true"/&gt;&lt;pref name="noteType" value="0"/&gt;&lt;/prefs&gt;&lt;/data&gt;</vt:lpwstr>
  </property>
</Properties>
</file>