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B6" w:rsidRDefault="00CD76B6" w:rsidP="001527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Tatiana Podolinská – Juraj Majo</w:t>
      </w:r>
    </w:p>
    <w:p w:rsidR="00CD76B6" w:rsidRDefault="00CD76B6" w:rsidP="001527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(Institute of Ethnology, Slovak Academy od Sciences, Slovakia), </w:t>
      </w:r>
      <w:hyperlink r:id="rId7" w:history="1">
        <w:r w:rsidRPr="005E0A71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tatiana.podolinska@savba.sk</w:t>
        </w:r>
      </w:hyperlink>
    </w:p>
    <w:p w:rsidR="00CD76B6" w:rsidRDefault="00DC1950" w:rsidP="001527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D1B23">
        <w:rPr>
          <w:rFonts w:ascii="Times New Roman" w:hAnsi="Times New Roman" w:cs="Times New Roman"/>
          <w:sz w:val="24"/>
          <w:szCs w:val="24"/>
          <w:lang w:val="en-GB"/>
        </w:rPr>
        <w:t xml:space="preserve">Comenius University in Bratislava, Faculty of Sciences, Department of Human Geography and Demography), </w:t>
      </w:r>
      <w:hyperlink r:id="rId8" w:history="1">
        <w:r w:rsidR="00931F04" w:rsidRPr="001B4C7B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juraj.majo@uniba.sk</w:t>
        </w:r>
      </w:hyperlink>
    </w:p>
    <w:p w:rsidR="00DC1950" w:rsidRDefault="00DC1950" w:rsidP="001527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B3208" w:rsidRPr="00DC1950" w:rsidRDefault="003B3208" w:rsidP="001527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1950">
        <w:rPr>
          <w:rFonts w:ascii="Times New Roman" w:hAnsi="Times New Roman" w:cs="Times New Roman"/>
          <w:b/>
          <w:sz w:val="24"/>
          <w:szCs w:val="24"/>
          <w:lang w:val="en-GB"/>
        </w:rPr>
        <w:t>“Nones” within religious landscape in late modern Slovakia</w:t>
      </w:r>
    </w:p>
    <w:p w:rsidR="00CD76B6" w:rsidRDefault="00E11FB7" w:rsidP="00CD76B6">
      <w:pPr>
        <w:widowControl w:val="0"/>
        <w:autoSpaceDE w:val="0"/>
        <w:autoSpaceDN w:val="0"/>
        <w:adjustRightInd w:val="0"/>
        <w:spacing w:after="0" w:line="240" w:lineRule="auto"/>
        <w:ind w:left="116" w:right="43" w:firstLine="60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FB7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E11FB7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be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nn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ng of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E11FB7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mill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nn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um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pacing w:val="3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Sl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ov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1FB7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ou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1FB7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E11FB7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ss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E11FB7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od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z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onn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iti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li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z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10E69">
        <w:rPr>
          <w:rFonts w:ascii="Times New Roman" w:hAnsi="Times New Roman" w:cs="Times New Roman"/>
          <w:sz w:val="24"/>
          <w:szCs w:val="24"/>
          <w:lang w:val="en-GB"/>
        </w:rPr>
        <w:t>Data f</w:t>
      </w:r>
      <w:r w:rsidR="00DC19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10E6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C1950">
        <w:rPr>
          <w:rFonts w:ascii="Times New Roman" w:hAnsi="Times New Roman" w:cs="Times New Roman"/>
          <w:sz w:val="24"/>
          <w:szCs w:val="24"/>
          <w:lang w:val="en-GB"/>
        </w:rPr>
        <w:t>m 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epresentative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survey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>s (EVS, ISSP)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1950">
        <w:rPr>
          <w:rFonts w:ascii="Times New Roman" w:hAnsi="Times New Roman" w:cs="Times New Roman"/>
          <w:sz w:val="24"/>
          <w:szCs w:val="24"/>
          <w:lang w:val="en-GB"/>
        </w:rPr>
        <w:t>and national censuses disclose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 a lot </w:t>
      </w:r>
      <w:r w:rsidR="00DC195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signs of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‘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pos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iti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E11FB7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-5"/>
          <w:sz w:val="24"/>
          <w:szCs w:val="24"/>
          <w:lang w:val="en-GB"/>
        </w:rPr>
        <w:t>y. As such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religious landscape in Slovakia is still merely based on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DC1950"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‘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>intra</w:t>
      </w:r>
      <w:r w:rsidR="00DD22C8">
        <w:rPr>
          <w:rFonts w:ascii="Times New Roman" w:hAnsi="Times New Roman" w:cs="Times New Roman"/>
          <w:spacing w:val="2"/>
          <w:sz w:val="24"/>
          <w:szCs w:val="24"/>
          <w:lang w:val="en-GB"/>
        </w:rPr>
        <w:t>-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>church believers</w:t>
      </w:r>
      <w:r w:rsidR="00DC1950" w:rsidRPr="00E11FB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(</w:t>
      </w:r>
      <w:r w:rsidR="007D1B23">
        <w:rPr>
          <w:rFonts w:ascii="Times New Roman" w:hAnsi="Times New Roman" w:cs="Times New Roman"/>
          <w:spacing w:val="2"/>
          <w:sz w:val="24"/>
          <w:szCs w:val="24"/>
          <w:lang w:val="en-GB"/>
        </w:rPr>
        <w:t>still over 70 % of the population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="007D1B23">
        <w:rPr>
          <w:rFonts w:ascii="Times New Roman" w:hAnsi="Times New Roman" w:cs="Times New Roman"/>
          <w:spacing w:val="2"/>
          <w:sz w:val="24"/>
          <w:szCs w:val="24"/>
          <w:lang w:val="en-GB"/>
        </w:rPr>
        <w:t>according to c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>ensuses 2001, 2011).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Within this most numerous group we can distinguish the </w:t>
      </w:r>
      <w:r w:rsidRPr="00E11FB7">
        <w:rPr>
          <w:rFonts w:ascii="Times New Roman" w:hAnsi="Times New Roman" w:cs="Times New Roman"/>
          <w:i/>
          <w:spacing w:val="2"/>
          <w:sz w:val="24"/>
          <w:szCs w:val="24"/>
          <w:lang w:val="en-GB"/>
        </w:rPr>
        <w:t xml:space="preserve">Traditionalists 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(believers, regular churchgoers following the </w:t>
      </w:r>
      <w:r>
        <w:rPr>
          <w:rFonts w:ascii="Times New Roman" w:hAnsi="Times New Roman" w:cs="Times New Roman"/>
          <w:spacing w:val="2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hristian moral code and values in their private life)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; </w:t>
      </w:r>
      <w:r w:rsidR="007805C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they </w:t>
      </w:r>
      <w:r w:rsidR="00DC19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represent 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c</w:t>
      </w:r>
      <w:bookmarkStart w:id="0" w:name="_GoBack"/>
      <w:bookmarkEnd w:id="0"/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a 30-33% of Slovak adult (18+) population. </w:t>
      </w:r>
      <w:r w:rsidR="00CD76B6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However, </w:t>
      </w:r>
      <w:r w:rsidR="00CD76B6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DC1950">
        <w:rPr>
          <w:rFonts w:ascii="Times New Roman" w:hAnsi="Times New Roman" w:cs="Times New Roman"/>
          <w:spacing w:val="-3"/>
          <w:sz w:val="24"/>
          <w:szCs w:val="24"/>
          <w:lang w:val="en-GB"/>
        </w:rPr>
        <w:t>ontribution shows that</w:t>
      </w:r>
      <w:r w:rsidRPr="00E11FB7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DD22C8">
        <w:rPr>
          <w:rFonts w:ascii="Times New Roman" w:hAnsi="Times New Roman" w:cs="Times New Roman"/>
          <w:spacing w:val="1"/>
          <w:sz w:val="24"/>
          <w:szCs w:val="24"/>
          <w:lang w:val="en-GB"/>
        </w:rPr>
        <w:t>ca</w:t>
      </w:r>
      <w:r w:rsidRPr="00E11FB7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D806D2">
        <w:rPr>
          <w:rFonts w:ascii="Times New Roman" w:hAnsi="Times New Roman" w:cs="Times New Roman"/>
          <w:sz w:val="24"/>
          <w:szCs w:val="24"/>
          <w:lang w:val="en-GB"/>
        </w:rPr>
        <w:t>40%</w:t>
      </w:r>
      <w:r w:rsidRPr="00E11FB7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E11FB7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S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ov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k </w:t>
      </w:r>
      <w:r w:rsidR="00DC1950">
        <w:rPr>
          <w:rFonts w:ascii="Times New Roman" w:hAnsi="Times New Roman" w:cs="Times New Roman"/>
          <w:sz w:val="24"/>
          <w:szCs w:val="24"/>
          <w:lang w:val="en-GB"/>
        </w:rPr>
        <w:t>intra</w:t>
      </w:r>
      <w:r w:rsidR="00DD22C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C1950">
        <w:rPr>
          <w:rFonts w:ascii="Times New Roman" w:hAnsi="Times New Roman" w:cs="Times New Roman"/>
          <w:sz w:val="24"/>
          <w:szCs w:val="24"/>
          <w:lang w:val="en-GB"/>
        </w:rPr>
        <w:t xml:space="preserve">church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er</w:t>
      </w:r>
      <w:r w:rsidRPr="00E11FB7">
        <w:rPr>
          <w:rFonts w:ascii="Times New Roman" w:hAnsi="Times New Roman" w:cs="Times New Roman"/>
          <w:spacing w:val="3"/>
          <w:sz w:val="24"/>
          <w:szCs w:val="24"/>
          <w:lang w:val="en-GB"/>
        </w:rPr>
        <w:t>s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DC1950" w:rsidRPr="00DC195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os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t</w:t>
      </w:r>
      <w:r w:rsidRPr="00DC1950">
        <w:rPr>
          <w:rFonts w:ascii="Times New Roman" w:hAnsi="Times New Roman" w:cs="Times New Roman"/>
          <w:i/>
          <w:spacing w:val="-1"/>
          <w:sz w:val="24"/>
          <w:szCs w:val="24"/>
          <w:lang w:val="en-GB"/>
        </w:rPr>
        <w:t>-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t</w:t>
      </w:r>
      <w:r w:rsidRPr="00DC1950">
        <w:rPr>
          <w:rFonts w:ascii="Times New Roman" w:hAnsi="Times New Roman" w:cs="Times New Roman"/>
          <w:i/>
          <w:spacing w:val="-1"/>
          <w:sz w:val="24"/>
          <w:szCs w:val="24"/>
          <w:lang w:val="en-GB"/>
        </w:rPr>
        <w:t>ra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iti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Pr="00DC1950">
        <w:rPr>
          <w:rFonts w:ascii="Times New Roman" w:hAnsi="Times New Roman" w:cs="Times New Roman"/>
          <w:i/>
          <w:spacing w:val="-1"/>
          <w:sz w:val="24"/>
          <w:szCs w:val="24"/>
          <w:lang w:val="en-GB"/>
        </w:rPr>
        <w:t>a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pos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iti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(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nse</w:t>
      </w:r>
      <w:r w:rsidRPr="00E11FB7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r b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ef)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4037C">
        <w:rPr>
          <w:rFonts w:ascii="Times New Roman" w:hAnsi="Times New Roman" w:cs="Times New Roman"/>
          <w:sz w:val="24"/>
          <w:szCs w:val="24"/>
          <w:lang w:val="en-GB"/>
        </w:rPr>
        <w:t xml:space="preserve"> The second most numerous segment of Slovak population are </w:t>
      </w:r>
      <w:r w:rsidR="00DC1950" w:rsidRPr="00DC1950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o</w:t>
      </w:r>
      <w:r w:rsidRPr="00DC1950">
        <w:rPr>
          <w:rFonts w:ascii="Times New Roman" w:hAnsi="Times New Roman" w:cs="Times New Roman"/>
          <w:i/>
          <w:spacing w:val="2"/>
          <w:sz w:val="24"/>
          <w:szCs w:val="24"/>
          <w:lang w:val="en-GB"/>
        </w:rPr>
        <w:t>n</w:t>
      </w:r>
      <w:r w:rsidRPr="00DC1950">
        <w:rPr>
          <w:rFonts w:ascii="Times New Roman" w:hAnsi="Times New Roman" w:cs="Times New Roman"/>
          <w:i/>
          <w:spacing w:val="-1"/>
          <w:sz w:val="24"/>
          <w:szCs w:val="24"/>
          <w:lang w:val="en-GB"/>
        </w:rPr>
        <w:t>-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t</w:t>
      </w:r>
      <w:r w:rsidRPr="00DC1950">
        <w:rPr>
          <w:rFonts w:ascii="Times New Roman" w:hAnsi="Times New Roman" w:cs="Times New Roman"/>
          <w:i/>
          <w:spacing w:val="-1"/>
          <w:sz w:val="24"/>
          <w:szCs w:val="24"/>
          <w:lang w:val="en-GB"/>
        </w:rPr>
        <w:t>ra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iti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Pr="00DC1950">
        <w:rPr>
          <w:rFonts w:ascii="Times New Roman" w:hAnsi="Times New Roman" w:cs="Times New Roman"/>
          <w:i/>
          <w:spacing w:val="-1"/>
          <w:sz w:val="24"/>
          <w:szCs w:val="24"/>
          <w:lang w:val="en-GB"/>
        </w:rPr>
        <w:t>a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li</w:t>
      </w:r>
      <w:r w:rsidRPr="00DC1950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DC1950">
        <w:rPr>
          <w:rFonts w:ascii="Times New Roman" w:hAnsi="Times New Roman" w:cs="Times New Roman"/>
          <w:i/>
          <w:spacing w:val="1"/>
          <w:sz w:val="24"/>
          <w:szCs w:val="24"/>
          <w:lang w:val="en-GB"/>
        </w:rPr>
        <w:t>t</w:t>
      </w:r>
      <w:r w:rsidR="00240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s, </w:t>
      </w:r>
      <w:r w:rsidR="007805C0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240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ef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E11FB7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5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E11FB7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iti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f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1FB7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‘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‘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(f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f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os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‘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li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ng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’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. Th</w:t>
      </w:r>
      <w:r w:rsidRPr="00E11FB7">
        <w:rPr>
          <w:rFonts w:ascii="Times New Roman" w:hAnsi="Times New Roman" w:cs="Times New Roman"/>
          <w:spacing w:val="4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y do</w:t>
      </w:r>
      <w:r w:rsidRPr="00E11FB7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E11FB7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fee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be</w:t>
      </w:r>
      <w:r w:rsidRPr="00E11FB7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he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1FB7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11FB7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n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E11FB7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u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rc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E11FB7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="007805C0">
        <w:rPr>
          <w:rFonts w:ascii="Times New Roman" w:hAnsi="Times New Roman" w:cs="Times New Roman"/>
          <w:spacing w:val="12"/>
          <w:sz w:val="24"/>
          <w:szCs w:val="24"/>
          <w:lang w:val="en-GB"/>
        </w:rPr>
        <w:t>denomination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(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defending the 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‘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E11FB7">
        <w:rPr>
          <w:rFonts w:ascii="Times New Roman" w:hAnsi="Times New Roman" w:cs="Times New Roman"/>
          <w:spacing w:val="2"/>
          <w:sz w:val="24"/>
          <w:szCs w:val="24"/>
          <w:lang w:val="en-GB"/>
        </w:rPr>
        <w:t>x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ra-</w:t>
      </w:r>
      <w:r w:rsidR="00DC1950">
        <w:rPr>
          <w:rFonts w:ascii="Times New Roman" w:hAnsi="Times New Roman" w:cs="Times New Roman"/>
          <w:spacing w:val="1"/>
          <w:sz w:val="24"/>
          <w:szCs w:val="24"/>
          <w:lang w:val="en-GB"/>
        </w:rPr>
        <w:t>church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E11FB7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pos</w:t>
      </w:r>
      <w:r w:rsidRPr="00E11FB7">
        <w:rPr>
          <w:rFonts w:ascii="Times New Roman" w:hAnsi="Times New Roman" w:cs="Times New Roman"/>
          <w:spacing w:val="1"/>
          <w:sz w:val="24"/>
          <w:szCs w:val="24"/>
          <w:lang w:val="en-GB"/>
        </w:rPr>
        <w:t>iti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11FB7">
        <w:rPr>
          <w:rFonts w:ascii="Times New Roman" w:hAnsi="Times New Roman" w:cs="Times New Roman"/>
          <w:spacing w:val="-1"/>
          <w:sz w:val="24"/>
          <w:szCs w:val="24"/>
          <w:lang w:val="en-GB"/>
        </w:rPr>
        <w:t>)</w:t>
      </w:r>
      <w:r w:rsidRPr="00E11F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11FB7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B3208" w:rsidRPr="00E11FB7">
        <w:rPr>
          <w:rFonts w:ascii="Times New Roman" w:hAnsi="Times New Roman" w:cs="Times New Roman"/>
          <w:sz w:val="24"/>
          <w:szCs w:val="24"/>
          <w:lang w:val="en-GB"/>
        </w:rPr>
        <w:t>he contribution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 xml:space="preserve"> further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7266D" w:rsidRPr="00E11FB7">
        <w:rPr>
          <w:rFonts w:ascii="Times New Roman" w:hAnsi="Times New Roman" w:cs="Times New Roman"/>
          <w:sz w:val="24"/>
          <w:szCs w:val="24"/>
          <w:lang w:val="en-GB"/>
        </w:rPr>
        <w:t>ocus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7266D" w:rsidRPr="00E11FB7">
        <w:rPr>
          <w:rFonts w:ascii="Times New Roman" w:hAnsi="Times New Roman" w:cs="Times New Roman"/>
          <w:sz w:val="24"/>
          <w:szCs w:val="24"/>
          <w:lang w:val="en-GB"/>
        </w:rPr>
        <w:t xml:space="preserve"> on religiously unaffiliated people, or so called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D76B6" w:rsidRPr="00910E69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7266D" w:rsidRPr="00910E69">
        <w:rPr>
          <w:rFonts w:ascii="Times New Roman" w:hAnsi="Times New Roman" w:cs="Times New Roman"/>
          <w:i/>
          <w:sz w:val="24"/>
          <w:szCs w:val="24"/>
          <w:lang w:val="en-GB"/>
        </w:rPr>
        <w:t>ones</w:t>
      </w:r>
      <w:r w:rsidR="0047266D" w:rsidRPr="00E11FB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their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 xml:space="preserve">correlation with basic demographic characteristics (age, gender, social status and living urban/rural environment) and </w:t>
      </w:r>
      <w:r w:rsidR="007D1B23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>regional distribution in Slovakia. I</w:t>
      </w:r>
      <w:r w:rsidR="0047266D" w:rsidRPr="002D2B4F">
        <w:rPr>
          <w:rFonts w:ascii="Times New Roman" w:hAnsi="Times New Roman"/>
          <w:sz w:val="24"/>
          <w:szCs w:val="24"/>
          <w:lang w:val="en-GB"/>
        </w:rPr>
        <w:t xml:space="preserve">ncreasing proportions of religious non-affiliation characterise not only Slovakia (it is the second most numerous segment of the </w:t>
      </w:r>
      <w:r w:rsidR="00B30E96">
        <w:rPr>
          <w:rFonts w:ascii="Times New Roman" w:hAnsi="Times New Roman"/>
          <w:sz w:val="24"/>
          <w:szCs w:val="24"/>
          <w:lang w:val="en-GB"/>
        </w:rPr>
        <w:t xml:space="preserve">Slovak population), but this trend contradicts the stereotype of Slovakia as one of the European “Citadels of Catholicism”. Contribution shows that </w:t>
      </w:r>
      <w:r w:rsidR="00152711" w:rsidRPr="00152711">
        <w:rPr>
          <w:rFonts w:ascii="Times New Roman" w:hAnsi="Times New Roman" w:cs="Times New Roman"/>
          <w:sz w:val="24"/>
          <w:szCs w:val="24"/>
          <w:lang w:val="en-GB"/>
        </w:rPr>
        <w:t xml:space="preserve">the maps of religious belonging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 xml:space="preserve">in Slovakia </w:t>
      </w:r>
      <w:r w:rsidR="00152711" w:rsidRPr="00152711">
        <w:rPr>
          <w:rFonts w:ascii="Times New Roman" w:hAnsi="Times New Roman" w:cs="Times New Roman"/>
          <w:sz w:val="24"/>
          <w:szCs w:val="24"/>
          <w:lang w:val="en-GB"/>
        </w:rPr>
        <w:t xml:space="preserve">needs to be reconfigured, which also could impact how both religious and nonreligious affiliations are recognised 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>and privileged or latently discriminate</w:t>
      </w:r>
      <w:r w:rsidR="007D1B2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D7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2711" w:rsidRPr="00152711">
        <w:rPr>
          <w:rFonts w:ascii="Times New Roman" w:hAnsi="Times New Roman" w:cs="Times New Roman"/>
          <w:sz w:val="24"/>
          <w:szCs w:val="24"/>
          <w:lang w:val="en-GB"/>
        </w:rPr>
        <w:t>by the state. </w:t>
      </w:r>
    </w:p>
    <w:sectPr w:rsidR="00CD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25" w:rsidRDefault="00801C25" w:rsidP="00EE6584">
      <w:pPr>
        <w:spacing w:after="0" w:line="240" w:lineRule="auto"/>
      </w:pPr>
      <w:r>
        <w:separator/>
      </w:r>
    </w:p>
  </w:endnote>
  <w:endnote w:type="continuationSeparator" w:id="0">
    <w:p w:rsidR="00801C25" w:rsidRDefault="00801C25" w:rsidP="00E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25" w:rsidRDefault="00801C25" w:rsidP="00EE6584">
      <w:pPr>
        <w:spacing w:after="0" w:line="240" w:lineRule="auto"/>
      </w:pPr>
      <w:r>
        <w:separator/>
      </w:r>
    </w:p>
  </w:footnote>
  <w:footnote w:type="continuationSeparator" w:id="0">
    <w:p w:rsidR="00801C25" w:rsidRDefault="00801C25" w:rsidP="00EE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245F"/>
    <w:multiLevelType w:val="multilevel"/>
    <w:tmpl w:val="1C6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1"/>
    <w:rsid w:val="00124848"/>
    <w:rsid w:val="00152711"/>
    <w:rsid w:val="0024037C"/>
    <w:rsid w:val="002B3ECA"/>
    <w:rsid w:val="003B3208"/>
    <w:rsid w:val="003E5264"/>
    <w:rsid w:val="0047266D"/>
    <w:rsid w:val="005373F9"/>
    <w:rsid w:val="0073578C"/>
    <w:rsid w:val="007805C0"/>
    <w:rsid w:val="007D1B23"/>
    <w:rsid w:val="00801C25"/>
    <w:rsid w:val="00887FFC"/>
    <w:rsid w:val="00910E69"/>
    <w:rsid w:val="00931F04"/>
    <w:rsid w:val="0096115D"/>
    <w:rsid w:val="00AC02D1"/>
    <w:rsid w:val="00B30E96"/>
    <w:rsid w:val="00CD76B6"/>
    <w:rsid w:val="00D806D2"/>
    <w:rsid w:val="00DC1950"/>
    <w:rsid w:val="00DD22C8"/>
    <w:rsid w:val="00E11FB7"/>
    <w:rsid w:val="00E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C2AA"/>
  <w15:chartTrackingRefBased/>
  <w15:docId w15:val="{93DCF760-391E-4C72-9884-A2044A7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52711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52711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EE6584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1F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majo@uni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.podolinska@sav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Podolinská</dc:creator>
  <cp:keywords/>
  <dc:description/>
  <cp:lastModifiedBy>Tatiana Podolinská</cp:lastModifiedBy>
  <cp:revision>3</cp:revision>
  <dcterms:created xsi:type="dcterms:W3CDTF">2018-02-19T14:49:00Z</dcterms:created>
  <dcterms:modified xsi:type="dcterms:W3CDTF">2018-02-19T14:49:00Z</dcterms:modified>
</cp:coreProperties>
</file>